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微软雅黑" w:hAnsi="微软雅黑" w:eastAsia="宋体" w:cs="宋体"/>
          <w:color w:val="707070"/>
          <w:kern w:val="36"/>
          <w:sz w:val="24"/>
          <w:szCs w:val="24"/>
        </w:rPr>
      </w:pPr>
      <w:r>
        <w:rPr>
          <w:rFonts w:ascii="微软雅黑" w:hAnsi="微软雅黑" w:eastAsia="宋体" w:cs="宋体"/>
          <w:color w:val="707070"/>
          <w:kern w:val="36"/>
          <w:sz w:val="24"/>
          <w:szCs w:val="24"/>
        </w:rPr>
        <w:t>清洁生产信息公示</w:t>
      </w:r>
    </w:p>
    <w:p>
      <w:pPr>
        <w:widowControl/>
        <w:rPr>
          <w:rFonts w:ascii="微软雅黑" w:hAnsi="微软雅黑" w:eastAsia="宋体" w:cs="宋体"/>
          <w:color w:val="707070"/>
          <w:kern w:val="0"/>
          <w:sz w:val="18"/>
          <w:szCs w:val="18"/>
        </w:rPr>
      </w:pPr>
      <w:r>
        <w:rPr>
          <w:rFonts w:ascii="宋体" w:hAnsi="宋体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根据《清洁生产审核办法》实施强制性清洁生产审核要求：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“</w:t>
      </w:r>
      <w:r>
        <w:rPr>
          <w:rFonts w:ascii="宋体" w:hAnsi="宋体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（三）使用有毒有害原料进行生产或者在生产中排放有毒有害物质的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”，</w:t>
      </w:r>
      <w:r>
        <w:rPr>
          <w:rFonts w:ascii="宋体" w:hAnsi="宋体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应当实施强制性清洁生产审核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  <w:lang w:val="en-US" w:eastAsia="zh-CN"/>
        </w:rPr>
        <w:t>杭州诚洁环保</w:t>
      </w:r>
      <w:r>
        <w:rPr>
          <w:rFonts w:ascii="宋体" w:hAnsi="宋体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有限公司属于该类型的强制性清洁生产企业。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根据《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  <w:lang w:val="en-US" w:eastAsia="zh-CN"/>
        </w:rPr>
        <w:t>杭州生态环境局钱塘分局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关于下达</w:t>
      </w:r>
      <w:r>
        <w:rPr>
          <w:rFonts w:hint="eastAsia" w:ascii="Times New Roman" w:hAnsi="Times New Roman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2021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年度实施强制性清洁生产审核企业名单的通知》，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  <w:lang w:val="en-US" w:eastAsia="zh-CN"/>
        </w:rPr>
        <w:t>杭州诚洁环保</w:t>
      </w:r>
      <w:r>
        <w:rPr>
          <w:rFonts w:ascii="宋体" w:hAnsi="宋体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有限公司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于</w:t>
      </w:r>
      <w:r>
        <w:rPr>
          <w:rFonts w:hint="eastAsia" w:ascii="Times New Roman" w:hAnsi="Times New Roman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2021</w:t>
      </w:r>
      <w:r>
        <w:rPr>
          <w:rFonts w:hint="eastAsia" w:ascii="宋体" w:hAnsi="宋体" w:eastAsia="宋体" w:cs="Calibri"/>
          <w:snapToGrid w:val="0"/>
          <w:color w:val="707070"/>
          <w:kern w:val="0"/>
          <w:sz w:val="24"/>
          <w:szCs w:val="24"/>
          <w:shd w:val="clear" w:color="auto" w:fill="FFFFFF"/>
        </w:rPr>
        <w:t>年开展清洁生产审核工作。</w:t>
      </w:r>
      <w:r>
        <w:rPr>
          <w:rFonts w:ascii="宋体" w:hAnsi="宋体" w:eastAsia="宋体" w:cs="Times New Roman"/>
          <w:snapToGrid w:val="0"/>
          <w:color w:val="707070"/>
          <w:kern w:val="0"/>
          <w:sz w:val="24"/>
          <w:szCs w:val="24"/>
          <w:shd w:val="clear" w:color="auto" w:fill="FFFFFF"/>
        </w:rPr>
        <w:t>现将企业清洁生产信息公示如下表：</w:t>
      </w:r>
    </w:p>
    <w:tbl>
      <w:tblPr>
        <w:tblStyle w:val="2"/>
        <w:tblW w:w="5204" w:type="pct"/>
        <w:tblInd w:w="-35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2099"/>
        <w:gridCol w:w="1969"/>
        <w:gridCol w:w="287"/>
        <w:gridCol w:w="1338"/>
        <w:gridCol w:w="13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一</w:t>
            </w:r>
          </w:p>
        </w:tc>
        <w:tc>
          <w:tcPr>
            <w:tcW w:w="7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企业基本信息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杭州诚洁环保有限公司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朱显跃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企业所在地</w:t>
            </w:r>
          </w:p>
        </w:tc>
        <w:tc>
          <w:tcPr>
            <w:tcW w:w="7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杭州市钱塘区临江街道经七路1459号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二</w:t>
            </w:r>
          </w:p>
        </w:tc>
        <w:tc>
          <w:tcPr>
            <w:tcW w:w="7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企业生产情况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单位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审批产量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上年度产量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高效复合水处理剂Y180预处理剂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51000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66666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高效复合水处理剂Y280专用混凝剂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2760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66666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高效复合水处理剂H380专用混凝剂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6700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高效复合水处理剂M180焦化废水专用混凝剂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复合生物酶制剂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7600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三</w:t>
            </w:r>
          </w:p>
        </w:tc>
        <w:tc>
          <w:tcPr>
            <w:tcW w:w="7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有毒有害原料使用及有毒有害物质排放情况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使用有毒有害原料名称、数量及用途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数量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用途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废酸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41400吨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生产Y180、Y280、H380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氯酸钠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660吨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生产Y280、H380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液碱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20吨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废气处理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四</w:t>
            </w:r>
          </w:p>
        </w:tc>
        <w:tc>
          <w:tcPr>
            <w:tcW w:w="7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主要污染物产生及排放情况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排放有毒有害物质的名称、浓度和数量</w:t>
            </w: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排放浓度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排放数量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硫酸雾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0.72mg/m³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0.005kg/h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22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4.06mg/m³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0.031kg/h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危险废物的产生及处置情况</w:t>
            </w:r>
          </w:p>
        </w:tc>
        <w:tc>
          <w:tcPr>
            <w:tcW w:w="56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产生情况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处置情况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产生来源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危废名称</w:t>
            </w:r>
          </w:p>
        </w:tc>
        <w:tc>
          <w:tcPr>
            <w:tcW w:w="1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产生量（t/a）</w:t>
            </w:r>
          </w:p>
        </w:tc>
        <w:tc>
          <w:tcPr>
            <w:tcW w:w="13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委托杭州立佳环境服务有限公司处置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产品生产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废包装袋</w:t>
            </w:r>
          </w:p>
        </w:tc>
        <w:tc>
          <w:tcPr>
            <w:tcW w:w="1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3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COD检测液</w:t>
            </w:r>
          </w:p>
        </w:tc>
        <w:tc>
          <w:tcPr>
            <w:tcW w:w="1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废试剂瓶</w:t>
            </w:r>
          </w:p>
        </w:tc>
        <w:tc>
          <w:tcPr>
            <w:tcW w:w="1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666666"/>
                <w:kern w:val="0"/>
                <w:sz w:val="18"/>
                <w:szCs w:val="18"/>
              </w:rPr>
              <w:t>环境风险防控措施落实情况</w:t>
            </w:r>
          </w:p>
        </w:tc>
        <w:tc>
          <w:tcPr>
            <w:tcW w:w="7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666666"/>
                <w:kern w:val="0"/>
                <w:sz w:val="18"/>
                <w:szCs w:val="18"/>
                <w:lang w:val="en-US" w:eastAsia="zh-CN"/>
              </w:rPr>
              <w:t>利用、贮存废酸均设置废气收集系统，采用二级碱喷淋处理；厂区设置316m³和20m³两个应急池；雨水排放口设施初期雨水收集池和手、自动两套切断阀；危险化学品采取五双管理。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B"/>
    <w:rsid w:val="00801401"/>
    <w:rsid w:val="0099587B"/>
    <w:rsid w:val="00F95127"/>
    <w:rsid w:val="47143FEA"/>
    <w:rsid w:val="56394C18"/>
    <w:rsid w:val="691B2BE7"/>
    <w:rsid w:val="75686CDE"/>
    <w:rsid w:val="788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2021-06-30T02:34:00Z</dcterms:created>
  <dc:creator>178492050@qq.com</dc:creator>
  <cp:lastModifiedBy>孟孟</cp:lastModifiedBy>
  <dcterms:modified xsi:type="dcterms:W3CDTF">2021-07-16T07:51:58Z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